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6CB309D" w:rsidR="009A7F3D" w:rsidRDefault="009A7F3D" w:rsidP="00B242BA">
      <w:pPr>
        <w:rPr>
          <w:b/>
          <w:sz w:val="24"/>
          <w:szCs w:val="24"/>
          <w:lang w:val="kk-KZ"/>
        </w:rPr>
      </w:pPr>
    </w:p>
    <w:p w14:paraId="7CF82BD4" w14:textId="2EB463DA" w:rsidR="00D76270" w:rsidRPr="00D76270" w:rsidRDefault="00D76270" w:rsidP="009F44C8">
      <w:pPr>
        <w:jc w:val="center"/>
        <w:rPr>
          <w:b/>
          <w:sz w:val="24"/>
          <w:szCs w:val="24"/>
          <w:lang w:val="kk-KZ"/>
        </w:rPr>
      </w:pPr>
      <w:r w:rsidRPr="00D76270">
        <w:rPr>
          <w:b/>
          <w:bCs/>
          <w:lang w:val="kk-KZ"/>
        </w:rPr>
        <w:t>«</w:t>
      </w:r>
      <w:r w:rsidRPr="00D76270">
        <w:rPr>
          <w:b/>
          <w:color w:val="000000"/>
          <w:lang w:val="kk-KZ"/>
        </w:rPr>
        <w:t xml:space="preserve">Әдебиет пәндерін оқытудың инновациялық және сандық технологиялары» </w:t>
      </w:r>
      <w:r w:rsidRPr="00D76270">
        <w:rPr>
          <w:b/>
          <w:lang w:val="kk-KZ"/>
        </w:rPr>
        <w:t xml:space="preserve">  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19F79F89" w:rsidR="00D76275" w:rsidRPr="005C4F1C" w:rsidRDefault="007854F8" w:rsidP="00D76275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D76275" w:rsidRPr="00B12580">
        <w:rPr>
          <w:sz w:val="24"/>
          <w:szCs w:val="24"/>
          <w:lang w:val="kk-KZ"/>
        </w:rPr>
        <w:t xml:space="preserve"> </w:t>
      </w:r>
      <w:r w:rsidR="00174CE5">
        <w:rPr>
          <w:sz w:val="24"/>
          <w:szCs w:val="24"/>
          <w:lang w:val="kk-KZ"/>
        </w:rPr>
        <w:t>91642</w:t>
      </w:r>
    </w:p>
    <w:p w14:paraId="715E6315" w14:textId="5E5CC426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174CE5">
        <w:rPr>
          <w:sz w:val="24"/>
          <w:szCs w:val="24"/>
          <w:lang w:val="kk-KZ"/>
        </w:rPr>
        <w:t>91642</w:t>
      </w:r>
    </w:p>
    <w:p w14:paraId="627CC605" w14:textId="45B38EB2" w:rsidR="00174CE5" w:rsidRPr="00C759B9" w:rsidRDefault="00174CE5" w:rsidP="00174CE5">
      <w:pPr>
        <w:jc w:val="center"/>
        <w:rPr>
          <w:sz w:val="20"/>
          <w:szCs w:val="20"/>
          <w:lang w:val="kk-KZ"/>
        </w:rPr>
      </w:pP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02938916" w:rsidR="003640B9" w:rsidRPr="00453D82" w:rsidRDefault="001C0A80" w:rsidP="00453D82">
      <w:pPr>
        <w:contextualSpacing/>
        <w:mirrorIndents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7М01701</w:t>
      </w:r>
      <w:r w:rsidR="00453D82"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453D82">
        <w:rPr>
          <w:caps/>
          <w:sz w:val="24"/>
          <w:szCs w:val="24"/>
          <w:lang w:val="kk-KZ"/>
        </w:rPr>
        <w:t xml:space="preserve">– </w:t>
      </w:r>
      <w:r>
        <w:rPr>
          <w:caps/>
          <w:sz w:val="24"/>
          <w:szCs w:val="24"/>
          <w:lang w:val="kk-KZ"/>
        </w:rPr>
        <w:t>«</w:t>
      </w:r>
      <w:r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453D82">
        <w:rPr>
          <w:sz w:val="24"/>
          <w:szCs w:val="24"/>
          <w:lang w:val="kk-KZ"/>
        </w:rPr>
        <w:t>»</w:t>
      </w:r>
      <w:r w:rsidR="00453D82"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2799A9C6" w:rsidR="00833EF8" w:rsidRPr="00B12580" w:rsidRDefault="001C0A80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магит</w:t>
      </w:r>
      <w:r w:rsidR="007D53A6">
        <w:rPr>
          <w:sz w:val="24"/>
          <w:szCs w:val="24"/>
          <w:lang w:val="kk-KZ"/>
        </w:rPr>
        <w:t>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65C1CF48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FF7216">
        <w:rPr>
          <w:sz w:val="24"/>
          <w:szCs w:val="24"/>
          <w:lang w:val="kk-KZ"/>
        </w:rPr>
        <w:t>2</w:t>
      </w:r>
    </w:p>
    <w:p w14:paraId="73EBC26F" w14:textId="68A0140B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FF7216">
        <w:rPr>
          <w:sz w:val="24"/>
          <w:szCs w:val="24"/>
          <w:lang w:val="kk-KZ"/>
        </w:rPr>
        <w:t>3</w:t>
      </w:r>
      <w:bookmarkStart w:id="0" w:name="_GoBack"/>
      <w:bookmarkEnd w:id="0"/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334E1347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B242BA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1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8D10022" w14:textId="71D78326" w:rsidR="00D76270" w:rsidRPr="00D76270" w:rsidRDefault="00257B56" w:rsidP="00D76270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0">
        <w:rPr>
          <w:b/>
          <w:sz w:val="20"/>
          <w:szCs w:val="20"/>
          <w:lang w:val="kk-KZ"/>
        </w:rPr>
        <w:t xml:space="preserve"> </w:t>
      </w:r>
      <w:r w:rsidR="00D76270" w:rsidRPr="00D76270">
        <w:rPr>
          <w:b/>
          <w:bCs/>
          <w:sz w:val="20"/>
          <w:szCs w:val="20"/>
          <w:lang w:val="kk-KZ"/>
        </w:rPr>
        <w:t>«</w:t>
      </w:r>
      <w:r w:rsidR="00D76270" w:rsidRPr="00D76270">
        <w:rPr>
          <w:b/>
          <w:color w:val="000000"/>
          <w:sz w:val="20"/>
          <w:szCs w:val="20"/>
          <w:lang w:val="kk-KZ"/>
        </w:rPr>
        <w:t xml:space="preserve">Әдебиет пәндерін оқытудың инновациялық және сандық технологиялары» </w:t>
      </w:r>
      <w:r w:rsidR="00D76270" w:rsidRPr="00D76270">
        <w:rPr>
          <w:b/>
          <w:sz w:val="20"/>
          <w:szCs w:val="20"/>
          <w:lang w:val="kk-KZ"/>
        </w:rPr>
        <w:t xml:space="preserve">  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FF7216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FF7216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FF7216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FF7216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FF7216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FF7216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0A80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242BA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0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5320"/>
    <w:rsid w:val="00FF68B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1998-FF95-4D24-8D55-998B29DF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29</cp:revision>
  <dcterms:created xsi:type="dcterms:W3CDTF">2024-01-17T14:53:00Z</dcterms:created>
  <dcterms:modified xsi:type="dcterms:W3CDTF">2025-06-22T16:11:00Z</dcterms:modified>
</cp:coreProperties>
</file>